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right"/>
      </w:pPr>
      <w:r>
        <w:rPr>
          <w:b/>
        </w:rPr>
        <w:t>Приложение №4</w:t>
      </w:r>
    </w:p>
    <w:p>
      <w:pPr>
        <w:pStyle w:val="2"/>
        <w:spacing w:before="88"/>
        <w:jc w:val="both"/>
        <w:rPr>
          <w:rFonts w:asciiTheme="minorHAnsi" w:hAnsiTheme="minorHAnsi" w:cstheme="minorHAnsi"/>
          <w:color w:val="002060"/>
          <w:sz w:val="26"/>
          <w:szCs w:val="26"/>
        </w:rPr>
      </w:pPr>
      <w:r>
        <w:rPr>
          <w:rFonts w:asciiTheme="minorHAnsi" w:hAnsiTheme="minorHAnsi" w:cstheme="minorHAnsi"/>
          <w:color w:val="002060"/>
          <w:sz w:val="26"/>
          <w:szCs w:val="26"/>
        </w:rPr>
        <w:t>сновные модели наставничества</w:t>
      </w:r>
    </w:p>
    <w:p>
      <w:pPr>
        <w:pStyle w:val="2"/>
        <w:keepNext/>
        <w:framePr w:dropCap="drop" w:lines="3" w:h="1780" w:hRule="exact" w:wrap="around" w:vAnchor="text" w:hAnchor="page" w:x="1298" w:y="-1770"/>
        <w:spacing w:before="280" w:beforeAutospacing="0" w:after="0" w:afterAutospacing="0" w:line="1500" w:lineRule="exact"/>
        <w:ind w:left="3053" w:hanging="3053"/>
        <w:jc w:val="both"/>
        <w:textAlignment w:val="baseline"/>
        <w:rPr>
          <w:rFonts w:asciiTheme="minorHAnsi" w:hAnsiTheme="minorHAnsi" w:cstheme="minorHAnsi"/>
          <w:b w:val="0"/>
          <w:color w:val="002060"/>
          <w:position w:val="6"/>
          <w:sz w:val="96"/>
          <w:szCs w:val="96"/>
        </w:rPr>
      </w:pPr>
      <w:r>
        <w:rPr>
          <w:rFonts w:asciiTheme="minorHAnsi" w:hAnsiTheme="minorHAnsi" w:cstheme="minorHAnsi"/>
          <w:b w:val="0"/>
          <w:color w:val="002060"/>
          <w:position w:val="6"/>
          <w:sz w:val="96"/>
          <w:szCs w:val="96"/>
        </w:rPr>
        <w:t>О</w:t>
      </w:r>
    </w:p>
    <w:p>
      <w:pPr>
        <w:pStyle w:val="5"/>
        <w:spacing w:before="6"/>
        <w:ind w:left="0"/>
        <w:jc w:val="left"/>
        <w:rPr>
          <w:b/>
          <w:sz w:val="10"/>
        </w:rPr>
      </w:pPr>
    </w:p>
    <w:tbl>
      <w:tblPr>
        <w:tblStyle w:val="8"/>
        <w:tblW w:w="9639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89"/>
        <w:gridCol w:w="2552"/>
        <w:gridCol w:w="4398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2689" w:type="dxa"/>
          </w:tcPr>
          <w:p>
            <w:pPr>
              <w:pStyle w:val="7"/>
              <w:spacing w:before="91"/>
              <w:ind w:left="173" w:right="325"/>
              <w:jc w:val="center"/>
              <w:rPr>
                <w:rFonts w:asciiTheme="minorHAnsi" w:hAnsiTheme="minorHAnsi" w:cstheme="minorHAnsi"/>
                <w:sz w:val="24"/>
                <w:lang w:val="en-US"/>
              </w:rPr>
            </w:pPr>
            <w:r>
              <w:rPr>
                <w:rFonts w:asciiTheme="minorHAnsi" w:hAnsiTheme="minorHAnsi" w:cstheme="minorHAnsi"/>
                <w:sz w:val="24"/>
                <w:lang w:val="en-US"/>
              </w:rPr>
              <w:t>Модель наставничества</w:t>
            </w:r>
          </w:p>
        </w:tc>
        <w:tc>
          <w:tcPr>
            <w:tcW w:w="2552" w:type="dxa"/>
          </w:tcPr>
          <w:p>
            <w:pPr>
              <w:pStyle w:val="7"/>
              <w:spacing w:before="2"/>
              <w:rPr>
                <w:rFonts w:asciiTheme="minorHAnsi" w:hAnsiTheme="minorHAnsi" w:cstheme="minorHAnsi"/>
                <w:sz w:val="24"/>
                <w:lang w:val="en-US"/>
              </w:rPr>
            </w:pPr>
          </w:p>
          <w:p>
            <w:pPr>
              <w:pStyle w:val="7"/>
              <w:ind w:left="938" w:hanging="509"/>
              <w:rPr>
                <w:rFonts w:asciiTheme="minorHAnsi" w:hAnsiTheme="minorHAnsi" w:cstheme="minorHAnsi"/>
                <w:sz w:val="24"/>
                <w:lang w:val="en-US"/>
              </w:rPr>
            </w:pPr>
            <w:r>
              <w:rPr>
                <w:rFonts w:asciiTheme="minorHAnsi" w:hAnsiTheme="minorHAnsi" w:cstheme="minorHAnsi"/>
                <w:sz w:val="24"/>
                <w:lang w:val="en-US"/>
              </w:rPr>
              <w:t>Определение</w:t>
            </w:r>
          </w:p>
        </w:tc>
        <w:tc>
          <w:tcPr>
            <w:tcW w:w="4398" w:type="dxa"/>
          </w:tcPr>
          <w:p>
            <w:pPr>
              <w:pStyle w:val="7"/>
              <w:spacing w:before="2"/>
              <w:rPr>
                <w:rFonts w:asciiTheme="minorHAnsi" w:hAnsiTheme="minorHAnsi" w:cstheme="minorHAnsi"/>
                <w:sz w:val="24"/>
                <w:lang w:val="en-US"/>
              </w:rPr>
            </w:pPr>
          </w:p>
          <w:p>
            <w:pPr>
              <w:pStyle w:val="7"/>
              <w:ind w:left="1480" w:hanging="197"/>
              <w:rPr>
                <w:rFonts w:asciiTheme="minorHAnsi" w:hAnsiTheme="minorHAnsi" w:cstheme="minorHAnsi"/>
                <w:sz w:val="24"/>
                <w:lang w:val="en-US"/>
              </w:rPr>
            </w:pPr>
            <w:r>
              <w:rPr>
                <w:rFonts w:asciiTheme="minorHAnsi" w:hAnsiTheme="minorHAnsi" w:cstheme="minorHAnsi"/>
                <w:sz w:val="24"/>
                <w:lang w:val="en-US"/>
              </w:rPr>
              <w:t>Преимущества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2689" w:type="dxa"/>
          </w:tcPr>
          <w:p>
            <w:pPr>
              <w:pStyle w:val="7"/>
              <w:spacing w:before="91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Традиционное наставничество (</w:t>
            </w:r>
            <w:r>
              <w:rPr>
                <w:rFonts w:asciiTheme="minorHAnsi" w:hAnsiTheme="minorHAnsi" w:cstheme="minorHAnsi"/>
                <w:i/>
                <w:sz w:val="24"/>
                <w:lang w:val="en-US"/>
              </w:rPr>
              <w:t>One</w:t>
            </w:r>
            <w:r>
              <w:rPr>
                <w:rFonts w:asciiTheme="minorHAnsi" w:hAnsiTheme="minorHAnsi" w:cstheme="minorHAnsi"/>
                <w:i/>
                <w:sz w:val="24"/>
                <w:lang w:val="ru-RU"/>
              </w:rPr>
              <w:t>-</w:t>
            </w:r>
            <w:r>
              <w:rPr>
                <w:rFonts w:asciiTheme="minorHAnsi" w:hAnsiTheme="minorHAnsi" w:cstheme="minorHAnsi"/>
                <w:i/>
                <w:sz w:val="24"/>
                <w:lang w:val="en-US"/>
              </w:rPr>
              <w:t>on</w:t>
            </w:r>
            <w:r>
              <w:rPr>
                <w:rFonts w:asciiTheme="minorHAnsi" w:hAnsiTheme="minorHAnsi" w:cstheme="minorHAnsi"/>
                <w:i/>
                <w:sz w:val="24"/>
                <w:lang w:val="ru-RU"/>
              </w:rPr>
              <w:t>-</w:t>
            </w:r>
            <w:r>
              <w:rPr>
                <w:rFonts w:asciiTheme="minorHAnsi" w:hAnsiTheme="minorHAnsi" w:cstheme="minorHAnsi"/>
                <w:i/>
                <w:sz w:val="24"/>
                <w:lang w:val="en-US"/>
              </w:rPr>
              <w:t>One</w:t>
            </w:r>
            <w:r>
              <w:rPr>
                <w:rFonts w:asciiTheme="minorHAnsi" w:hAnsiTheme="minorHAnsi" w:cstheme="minorHAnsi"/>
                <w:i/>
                <w:sz w:val="24"/>
                <w:lang w:val="ru-RU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z w:val="24"/>
                <w:lang w:val="en-US"/>
              </w:rPr>
              <w:t>Mentoring</w:t>
            </w:r>
            <w:r>
              <w:rPr>
                <w:rFonts w:asciiTheme="minorHAnsi" w:hAnsiTheme="minorHAnsi" w:cstheme="minorHAnsi"/>
                <w:i/>
                <w:sz w:val="24"/>
                <w:lang w:val="ru-RU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lang w:val="ru-RU"/>
              </w:rPr>
              <w:t>– «один на один»)</w:t>
            </w:r>
          </w:p>
        </w:tc>
        <w:tc>
          <w:tcPr>
            <w:tcW w:w="2552" w:type="dxa"/>
          </w:tcPr>
          <w:p>
            <w:pPr>
              <w:pStyle w:val="7"/>
              <w:spacing w:before="2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Наставник, как правило, успешный и опытный профессионал, работает с менее опытным коллегой для улучшения результатов работы, карьерного роста и налаживания профессиональных связей</w:t>
            </w:r>
          </w:p>
        </w:tc>
        <w:tc>
          <w:tcPr>
            <w:tcW w:w="4398" w:type="dxa"/>
          </w:tcPr>
          <w:p>
            <w:pPr>
              <w:pStyle w:val="7"/>
              <w:numPr>
                <w:ilvl w:val="0"/>
                <w:numId w:val="1"/>
              </w:numPr>
              <w:tabs>
                <w:tab w:val="left" w:pos="242"/>
              </w:tabs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В центре внимания – профессиональное</w:t>
            </w:r>
            <w:r>
              <w:rPr>
                <w:rFonts w:asciiTheme="minorHAnsi" w:hAnsiTheme="minorHAnsi" w:cstheme="minorHAnsi"/>
                <w:spacing w:val="-19"/>
                <w:sz w:val="24"/>
                <w:lang w:val="ru-RU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lang w:val="ru-RU"/>
              </w:rPr>
              <w:t>развитие наставляемого.</w:t>
            </w:r>
          </w:p>
          <w:p>
            <w:pPr>
              <w:pStyle w:val="7"/>
              <w:numPr>
                <w:ilvl w:val="0"/>
                <w:numId w:val="1"/>
              </w:numPr>
              <w:tabs>
                <w:tab w:val="left" w:pos="242"/>
              </w:tabs>
              <w:spacing w:before="1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Наставник передает свой опыт и знания, правила и традиции отношений в организации, дает конструктивную обратную связь</w:t>
            </w:r>
            <w:r>
              <w:rPr>
                <w:rFonts w:asciiTheme="minorHAnsi" w:hAnsiTheme="minorHAnsi" w:cstheme="minorHAnsi"/>
                <w:spacing w:val="-13"/>
                <w:sz w:val="24"/>
                <w:lang w:val="ru-RU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lang w:val="ru-RU"/>
              </w:rPr>
              <w:t>и советы, как достичь</w:t>
            </w:r>
            <w:r>
              <w:rPr>
                <w:rFonts w:asciiTheme="minorHAnsi" w:hAnsiTheme="minorHAnsi" w:cstheme="minorHAnsi"/>
                <w:spacing w:val="32"/>
                <w:sz w:val="24"/>
                <w:lang w:val="ru-RU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lang w:val="ru-RU"/>
              </w:rPr>
              <w:t>успеха.</w:t>
            </w:r>
          </w:p>
          <w:p>
            <w:pPr>
              <w:pStyle w:val="7"/>
              <w:numPr>
                <w:ilvl w:val="0"/>
                <w:numId w:val="1"/>
              </w:numPr>
              <w:tabs>
                <w:tab w:val="left" w:pos="242"/>
              </w:tabs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Наставник имеет возможность</w:t>
            </w:r>
            <w:r>
              <w:rPr>
                <w:rFonts w:asciiTheme="minorHAnsi" w:hAnsiTheme="minorHAnsi" w:cstheme="minorHAnsi"/>
                <w:spacing w:val="-25"/>
                <w:sz w:val="24"/>
                <w:lang w:val="ru-RU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lang w:val="ru-RU"/>
              </w:rPr>
              <w:t>понять и оценить, насколько его подопечный способен к дальнейшему профессиональному</w:t>
            </w:r>
            <w:r>
              <w:rPr>
                <w:rFonts w:asciiTheme="minorHAnsi" w:hAnsiTheme="minorHAnsi" w:cstheme="minorHAnsi"/>
                <w:spacing w:val="-11"/>
                <w:sz w:val="24"/>
                <w:lang w:val="ru-RU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lang w:val="ru-RU"/>
              </w:rPr>
              <w:t>развитию.</w:t>
            </w:r>
          </w:p>
          <w:p>
            <w:pPr>
              <w:pStyle w:val="7"/>
              <w:numPr>
                <w:ilvl w:val="0"/>
                <w:numId w:val="1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Наставляемый легче и быстрее осваивает новые функции, роли, корпоративные ценности и</w:t>
            </w:r>
            <w:r>
              <w:rPr>
                <w:rFonts w:asciiTheme="minorHAnsi" w:hAnsiTheme="minorHAnsi" w:cstheme="minorHAnsi"/>
                <w:spacing w:val="-25"/>
                <w:sz w:val="24"/>
                <w:lang w:val="ru-RU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lang w:val="ru-RU"/>
              </w:rPr>
              <w:t>традиции.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2689" w:type="dxa"/>
          </w:tcPr>
          <w:p>
            <w:pPr>
              <w:pStyle w:val="7"/>
              <w:spacing w:before="2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Партнерское наставничество:</w:t>
            </w:r>
          </w:p>
          <w:p>
            <w:pPr>
              <w:pStyle w:val="7"/>
              <w:spacing w:before="2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«равный – равному» (Peer-to-peer Mentoring)</w:t>
            </w:r>
          </w:p>
        </w:tc>
        <w:tc>
          <w:tcPr>
            <w:tcW w:w="2552" w:type="dxa"/>
          </w:tcPr>
          <w:p>
            <w:pPr>
              <w:pStyle w:val="7"/>
              <w:spacing w:before="2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Наставником является сотрудник, равный по уровню наставляемому, но с опытом работы в предметной области, которым партнер не обладает</w:t>
            </w:r>
          </w:p>
        </w:tc>
        <w:tc>
          <w:tcPr>
            <w:tcW w:w="4398" w:type="dxa"/>
          </w:tcPr>
          <w:p>
            <w:pPr>
              <w:pStyle w:val="7"/>
              <w:numPr>
                <w:ilvl w:val="0"/>
                <w:numId w:val="1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Наставник помогает партнеру в улучшении выполнения работы, выстраивании профессиональных отношений и повышении личной удовлетворенности работой.</w:t>
            </w:r>
          </w:p>
          <w:p>
            <w:pPr>
              <w:pStyle w:val="7"/>
              <w:numPr>
                <w:ilvl w:val="0"/>
                <w:numId w:val="1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Эффективный наставник слушает, собирает информацию, обеспечивает честную и конструктивную обратную связь, создает видение перемен и мотивирует наставляемого к действиям.</w:t>
            </w:r>
          </w:p>
          <w:p>
            <w:pPr>
              <w:pStyle w:val="7"/>
              <w:numPr>
                <w:ilvl w:val="0"/>
                <w:numId w:val="1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Наставник помогает партнеру отслеживать прогресс в достижении конкретных карьерных целей.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2689" w:type="dxa"/>
          </w:tcPr>
          <w:p>
            <w:pPr>
              <w:pStyle w:val="7"/>
              <w:spacing w:before="2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Групповое наставничество (Group Mentoring)</w:t>
            </w:r>
          </w:p>
        </w:tc>
        <w:tc>
          <w:tcPr>
            <w:tcW w:w="2552" w:type="dxa"/>
          </w:tcPr>
          <w:p>
            <w:pPr>
              <w:pStyle w:val="7"/>
              <w:spacing w:before="2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Связь нескольких лиц с более опытными коллегами («Круги наставничества»)</w:t>
            </w:r>
          </w:p>
        </w:tc>
        <w:tc>
          <w:tcPr>
            <w:tcW w:w="4398" w:type="dxa"/>
          </w:tcPr>
          <w:p>
            <w:pPr>
              <w:pStyle w:val="7"/>
              <w:numPr>
                <w:ilvl w:val="0"/>
                <w:numId w:val="1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Группа наставников советует подопечным, как действовать для достижения своих целей, устранить профессиональные проблемы и решить проблемы в работе, помогает ориентироваться в организационной политике и предоставляет рекомендации для выдвижения инновационных идей.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2689" w:type="dxa"/>
          </w:tcPr>
          <w:p>
            <w:pPr>
              <w:pStyle w:val="7"/>
              <w:spacing w:before="2" w:line="278" w:lineRule="auto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Флэш-наставничество (Flash Mentoring)</w:t>
            </w:r>
          </w:p>
        </w:tc>
        <w:tc>
          <w:tcPr>
            <w:tcW w:w="2552" w:type="dxa"/>
          </w:tcPr>
          <w:p>
            <w:pPr>
              <w:pStyle w:val="7"/>
              <w:spacing w:before="2" w:line="278" w:lineRule="auto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Наставничество через одноразовые встречи или обсуждения</w:t>
            </w:r>
          </w:p>
        </w:tc>
        <w:tc>
          <w:tcPr>
            <w:tcW w:w="4398" w:type="dxa"/>
          </w:tcPr>
          <w:p>
            <w:pPr>
              <w:pStyle w:val="7"/>
              <w:numPr>
                <w:ilvl w:val="0"/>
                <w:numId w:val="1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Помогает наставляемым учиться, обращаясь за помощью к более опытному коллеге.</w:t>
            </w:r>
          </w:p>
          <w:p>
            <w:pPr>
              <w:pStyle w:val="7"/>
              <w:numPr>
                <w:ilvl w:val="0"/>
                <w:numId w:val="1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Flash-наставники обычно предоставляют ценные знания и опыт работы, но в очень ограниченном временном интервале.</w:t>
            </w:r>
          </w:p>
          <w:p>
            <w:pPr>
              <w:pStyle w:val="7"/>
              <w:numPr>
                <w:ilvl w:val="0"/>
                <w:numId w:val="1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Темы для флэш-наставничества широки, начиная от обсуждения карьерных целей, конкретных советов, рекомендации дополнительных образовательных ресурсов или привлечения отдельных экспертов.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2689" w:type="dxa"/>
          </w:tcPr>
          <w:p>
            <w:pPr>
              <w:pStyle w:val="7"/>
              <w:spacing w:before="2" w:line="278" w:lineRule="auto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Скоростное наставничество (Speed Mentoring)</w:t>
            </w:r>
          </w:p>
        </w:tc>
        <w:tc>
          <w:tcPr>
            <w:tcW w:w="2552" w:type="dxa"/>
          </w:tcPr>
          <w:p>
            <w:pPr>
              <w:pStyle w:val="7"/>
              <w:spacing w:before="2" w:line="278" w:lineRule="auto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Обеспечивает место встречи для участников, чтобы помочь построить отношения равного наставничества</w:t>
            </w:r>
          </w:p>
        </w:tc>
        <w:tc>
          <w:tcPr>
            <w:tcW w:w="4398" w:type="dxa"/>
          </w:tcPr>
          <w:p>
            <w:pPr>
              <w:pStyle w:val="7"/>
              <w:numPr>
                <w:ilvl w:val="0"/>
                <w:numId w:val="1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Скоростное наставничество способствует развитию отношений наставничества, предоставляя площадку для знакомства нескольких сотрудников.</w:t>
            </w:r>
          </w:p>
          <w:p>
            <w:pPr>
              <w:pStyle w:val="7"/>
              <w:numPr>
                <w:ilvl w:val="0"/>
                <w:numId w:val="1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Это многоуровневый подход к организации сети профессионалов и построению отношений, который помогает участникам быстро определить людей с общими целями и взаимными интересами.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2689" w:type="dxa"/>
          </w:tcPr>
          <w:p>
            <w:pPr>
              <w:pStyle w:val="7"/>
              <w:spacing w:before="2" w:line="278" w:lineRule="auto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Реверсивное наставничество (Reverse Mentoring)</w:t>
            </w:r>
          </w:p>
        </w:tc>
        <w:tc>
          <w:tcPr>
            <w:tcW w:w="2552" w:type="dxa"/>
          </w:tcPr>
          <w:p>
            <w:pPr>
              <w:pStyle w:val="7"/>
              <w:spacing w:before="2" w:line="278" w:lineRule="auto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Профессионал младшего возраста становится наставником опытного сотрудника по вопросам новых тенденций, технологий и т.д.</w:t>
            </w:r>
          </w:p>
        </w:tc>
        <w:tc>
          <w:tcPr>
            <w:tcW w:w="4398" w:type="dxa"/>
          </w:tcPr>
          <w:p>
            <w:pPr>
              <w:pStyle w:val="7"/>
              <w:numPr>
                <w:ilvl w:val="0"/>
                <w:numId w:val="1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Помимо общих преимуществ, реверсивное наставничество помогает установить взаимопонимание между разными поколениями сотрудников. Обе стороны этой формы наставничества вынуждены выйти из зоны комфорта и научиться думать, работать и обучаться по-новому, толерантно воспринимая социальные, возрастные и коммуникативные особенности друг друга.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2689" w:type="dxa"/>
          </w:tcPr>
          <w:p>
            <w:pPr>
              <w:pStyle w:val="7"/>
              <w:spacing w:before="2" w:line="278" w:lineRule="auto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Виртуальное наставничество (Virtual Mentoring)</w:t>
            </w:r>
          </w:p>
        </w:tc>
        <w:tc>
          <w:tcPr>
            <w:tcW w:w="2552" w:type="dxa"/>
          </w:tcPr>
          <w:p>
            <w:pPr>
              <w:pStyle w:val="7"/>
              <w:spacing w:before="2" w:line="278" w:lineRule="auto"/>
              <w:ind w:left="173" w:right="122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Советы и рекомендации наставником предоставляются в режиме онлайн</w:t>
            </w:r>
          </w:p>
        </w:tc>
        <w:tc>
          <w:tcPr>
            <w:tcW w:w="4398" w:type="dxa"/>
          </w:tcPr>
          <w:p>
            <w:pPr>
              <w:pStyle w:val="7"/>
              <w:numPr>
                <w:ilvl w:val="0"/>
                <w:numId w:val="1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Сотрудник самостоятельно обращается к наставнику за советом или ресурсами, когда это требуется.</w:t>
            </w:r>
          </w:p>
          <w:p>
            <w:pPr>
              <w:pStyle w:val="7"/>
              <w:numPr>
                <w:ilvl w:val="0"/>
                <w:numId w:val="1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Этот вид наставничества может включать в себя несколько наставников, находящихся за пределами организации и внешних сетей.</w:t>
            </w:r>
          </w:p>
          <w:p>
            <w:pPr>
              <w:pStyle w:val="7"/>
              <w:numPr>
                <w:ilvl w:val="0"/>
                <w:numId w:val="1"/>
              </w:numPr>
              <w:spacing w:before="2"/>
              <w:ind w:left="432" w:right="122" w:hanging="283"/>
              <w:rPr>
                <w:rFonts w:asciiTheme="minorHAnsi" w:hAnsiTheme="minorHAnsi" w:cstheme="minorHAnsi"/>
                <w:sz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lang w:val="ru-RU"/>
              </w:rPr>
              <w:t>Виртуальное наставничество обеспечивает поддержку результатов и передачу неформализованных знаний.</w:t>
            </w:r>
          </w:p>
        </w:tc>
      </w:tr>
    </w:tbl>
    <w:p>
      <w:pPr>
        <w:rPr>
          <w:sz w:val="24"/>
        </w:rPr>
        <w:sectPr>
          <w:footerReference r:id="rId6" w:type="first"/>
          <w:footerReference r:id="rId5" w:type="default"/>
          <w:pgSz w:w="11910" w:h="16840"/>
          <w:pgMar w:top="1134" w:right="1134" w:bottom="1134" w:left="1134" w:header="0" w:footer="922" w:gutter="0"/>
          <w:cols w:space="720" w:num="1"/>
          <w:titlePg/>
          <w:docGrid w:linePitch="299" w:charSpace="0"/>
        </w:sectPr>
      </w:pPr>
      <w:bookmarkStart w:id="0" w:name="_GoBack"/>
      <w:bookmarkEnd w:id="0"/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97346205"/>
      <w:docPartObj>
        <w:docPartGallery w:val="autotext"/>
      </w:docPartObj>
    </w:sdtPr>
    <w:sdtContent>
      <w:p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79</w:t>
        </w:r>
        <w:r>
          <w:fldChar w:fldCharType="end"/>
        </w:r>
      </w:p>
    </w:sdtContent>
  </w:sdt>
  <w:p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996606898"/>
      <w:docPartObj>
        <w:docPartGallery w:val="autotext"/>
      </w:docPartObj>
    </w:sdtPr>
    <w:sdtContent>
      <w:p>
        <w:pPr>
          <w:pStyle w:val="6"/>
          <w:jc w:val="center"/>
        </w:pPr>
      </w:p>
    </w:sdtContent>
  </w:sdt>
  <w:p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544D47"/>
    <w:multiLevelType w:val="multilevel"/>
    <w:tmpl w:val="3B544D47"/>
    <w:lvl w:ilvl="0" w:tentative="0">
      <w:start w:val="1"/>
      <w:numFmt w:val="bullet"/>
      <w:lvlText w:val=""/>
      <w:lvlJc w:val="left"/>
      <w:pPr>
        <w:ind w:left="893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61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33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05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77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49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21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93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653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BC2501"/>
    <w:rsid w:val="07BC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22"/>
      <w:jc w:val="both"/>
    </w:pPr>
    <w:rPr>
      <w:rFonts w:ascii="Times New Roman" w:hAnsi="Times New Roman" w:eastAsia="Times New Roman" w:cs="Times New Roman"/>
      <w:sz w:val="28"/>
      <w:szCs w:val="28"/>
      <w:lang w:eastAsia="ru-RU" w:bidi="ru-RU"/>
    </w:rPr>
  </w:style>
  <w:style w:type="paragraph" w:styleId="6">
    <w:name w:val="footer"/>
    <w:basedOn w:val="1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7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lang w:eastAsia="ru-RU" w:bidi="ru-RU"/>
    </w:rPr>
  </w:style>
  <w:style w:type="table" w:customStyle="1" w:styleId="8">
    <w:name w:val="Table Normal"/>
    <w:semiHidden/>
    <w:unhideWhenUsed/>
    <w:qFormat/>
    <w:uiPriority w:val="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2023-12-05T15:41:00Z</dcterms:created>
  <dc:creator>Патимат Магомедова</dc:creator>
  <cp:lastModifiedBy>Патимат Магомедова</cp:lastModifiedBy>
  <dcterms:modified xsi:type="dcterms:W3CDTF">2023-12-05T15:42:40Z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A7F605F665E44487B296EFDF536826D7_11</vt:lpwstr>
  </property>
</Properties>
</file>