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9639" w:type="dxa"/>
        <w:tblInd w:w="-284" w:type="dxa"/>
        <w:tblBorders>
          <w:top w:val="none" w:sz="0" w:space="0" w:color="auto"/>
          <w:left w:val="none" w:sz="0" w:space="0" w:color="auto"/>
          <w:bottom w:val="dashed" w:sz="36" w:space="0" w:color="C0000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0"/>
        <w:gridCol w:w="374"/>
        <w:gridCol w:w="7125"/>
      </w:tblGrid>
      <w:tr w:rsidR="00F47AB2" w:rsidTr="00952EE7">
        <w:tc>
          <w:tcPr>
            <w:tcW w:w="2140" w:type="dxa"/>
            <w:tcBorders>
              <w:bottom w:val="single" w:sz="18" w:space="0" w:color="C00000"/>
            </w:tcBorders>
          </w:tcPr>
          <w:p w:rsidR="00F47AB2" w:rsidRDefault="00F47AB2" w:rsidP="007D76B2">
            <w:pPr>
              <w:rPr>
                <w:rFonts w:ascii="Franklin Gothic Book" w:hAnsi="Franklin Gothic Book"/>
                <w:b/>
                <w:noProof/>
                <w:sz w:val="26"/>
                <w:szCs w:val="26"/>
                <w:lang w:eastAsia="ru-RU"/>
              </w:rPr>
            </w:pPr>
            <w:r w:rsidRPr="00687D73">
              <w:rPr>
                <w:rFonts w:ascii="Franklin Gothic Book" w:hAnsi="Franklin Gothic Book"/>
                <w:b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5E942807" wp14:editId="74D08229">
                  <wp:extent cx="1222218" cy="691339"/>
                  <wp:effectExtent l="0" t="0" r="0" b="0"/>
                  <wp:docPr id="1" name="Рисунок 1" descr="C:\Users\user\Desktop\Снимо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Снимок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069" t="25631" r="27502" b="30925"/>
                          <a:stretch/>
                        </pic:blipFill>
                        <pic:spPr bwMode="auto">
                          <a:xfrm>
                            <a:off x="0" y="0"/>
                            <a:ext cx="1253143" cy="708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99" w:type="dxa"/>
            <w:gridSpan w:val="2"/>
            <w:tcBorders>
              <w:bottom w:val="single" w:sz="18" w:space="0" w:color="C00000"/>
            </w:tcBorders>
          </w:tcPr>
          <w:p w:rsidR="00F47AB2" w:rsidRDefault="00F47AB2" w:rsidP="007D76B2">
            <w:pPr>
              <w:rPr>
                <w:rFonts w:ascii="Franklin Gothic Book" w:hAnsi="Franklin Gothic Book"/>
                <w:b/>
                <w:noProof/>
                <w:sz w:val="26"/>
                <w:szCs w:val="26"/>
                <w:lang w:eastAsia="ru-RU"/>
              </w:rPr>
            </w:pPr>
          </w:p>
          <w:p w:rsidR="00F47AB2" w:rsidRDefault="00D07477" w:rsidP="007D76B2">
            <w:pPr>
              <w:ind w:right="179"/>
              <w:jc w:val="center"/>
              <w:rPr>
                <w:rFonts w:ascii="Franklin Gothic Book" w:hAnsi="Franklin Gothic Book"/>
                <w:b/>
                <w:color w:val="002060"/>
                <w:sz w:val="48"/>
                <w:szCs w:val="48"/>
              </w:rPr>
            </w:pPr>
            <w:r>
              <w:rPr>
                <w:rFonts w:ascii="Franklin Gothic Book" w:hAnsi="Franklin Gothic Book"/>
                <w:b/>
                <w:color w:val="002060"/>
                <w:sz w:val="48"/>
                <w:szCs w:val="48"/>
              </w:rPr>
              <w:t>ПОКАЗАТЕЛИ</w:t>
            </w:r>
          </w:p>
          <w:p w:rsidR="00D07477" w:rsidRPr="00D07477" w:rsidRDefault="00D07477" w:rsidP="007D76B2">
            <w:pPr>
              <w:ind w:right="179"/>
              <w:jc w:val="center"/>
              <w:rPr>
                <w:rFonts w:ascii="Franklin Gothic Book" w:hAnsi="Franklin Gothic Book"/>
                <w:b/>
                <w:noProof/>
                <w:sz w:val="36"/>
                <w:szCs w:val="36"/>
                <w:u w:val="dash"/>
                <w:lang w:eastAsia="ru-RU"/>
              </w:rPr>
            </w:pPr>
            <w:r w:rsidRPr="00D07477">
              <w:rPr>
                <w:rFonts w:ascii="Franklin Gothic Book" w:hAnsi="Franklin Gothic Book"/>
                <w:b/>
                <w:color w:val="002060"/>
                <w:sz w:val="36"/>
                <w:szCs w:val="36"/>
              </w:rPr>
              <w:t>МОТИВИРУЮЩЕГО МОНИТОРИНГА</w:t>
            </w:r>
          </w:p>
        </w:tc>
      </w:tr>
      <w:tr w:rsidR="00F47AB2" w:rsidRPr="001A7751" w:rsidTr="00952EE7">
        <w:tc>
          <w:tcPr>
            <w:tcW w:w="2514" w:type="dxa"/>
            <w:gridSpan w:val="2"/>
            <w:tcBorders>
              <w:top w:val="single" w:sz="24" w:space="0" w:color="EE0000"/>
              <w:bottom w:val="nil"/>
            </w:tcBorders>
          </w:tcPr>
          <w:p w:rsidR="00F47AB2" w:rsidRPr="001A7751" w:rsidRDefault="00F47AB2" w:rsidP="007D76B2">
            <w:pPr>
              <w:rPr>
                <w:rFonts w:ascii="Franklin Gothic Book" w:hAnsi="Franklin Gothic Book"/>
                <w:b/>
                <w:noProof/>
                <w:sz w:val="8"/>
                <w:szCs w:val="8"/>
                <w:lang w:eastAsia="ru-RU"/>
              </w:rPr>
            </w:pPr>
          </w:p>
        </w:tc>
        <w:tc>
          <w:tcPr>
            <w:tcW w:w="7125" w:type="dxa"/>
            <w:tcBorders>
              <w:top w:val="single" w:sz="24" w:space="0" w:color="EE0000"/>
              <w:bottom w:val="nil"/>
            </w:tcBorders>
          </w:tcPr>
          <w:p w:rsidR="00F47AB2" w:rsidRPr="001A7751" w:rsidRDefault="00F47AB2" w:rsidP="007D76B2">
            <w:pPr>
              <w:rPr>
                <w:rFonts w:ascii="Franklin Gothic Book" w:hAnsi="Franklin Gothic Book"/>
                <w:b/>
                <w:noProof/>
                <w:sz w:val="8"/>
                <w:szCs w:val="8"/>
                <w:lang w:eastAsia="ru-RU"/>
              </w:rPr>
            </w:pPr>
          </w:p>
        </w:tc>
      </w:tr>
    </w:tbl>
    <w:p w:rsidR="009A0F83" w:rsidRPr="009A0F83" w:rsidRDefault="009A0F83" w:rsidP="00454D62">
      <w:pPr>
        <w:pStyle w:val="a6"/>
        <w:spacing w:after="0"/>
        <w:ind w:left="426"/>
        <w:jc w:val="both"/>
        <w:rPr>
          <w:rFonts w:ascii="Franklin Gothic Book" w:hAnsi="Franklin Gothic Book" w:cs="Times New Roman"/>
          <w:b/>
          <w:sz w:val="12"/>
          <w:szCs w:val="12"/>
        </w:rPr>
      </w:pPr>
    </w:p>
    <w:p w:rsidR="009A0F83" w:rsidRPr="009A0F83" w:rsidRDefault="009A0F83" w:rsidP="00454D62">
      <w:pPr>
        <w:pStyle w:val="a6"/>
        <w:spacing w:after="0"/>
        <w:ind w:left="426"/>
        <w:jc w:val="both"/>
        <w:rPr>
          <w:rFonts w:ascii="Franklin Gothic Book" w:hAnsi="Franklin Gothic Book" w:cs="Times New Roman"/>
          <w:b/>
          <w:sz w:val="12"/>
          <w:szCs w:val="12"/>
        </w:rPr>
      </w:pPr>
    </w:p>
    <w:p w:rsidR="001B16E0" w:rsidRPr="009B4FE0" w:rsidRDefault="001B16E0" w:rsidP="001B16E0">
      <w:pPr>
        <w:pStyle w:val="pcenter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212529"/>
          <w:sz w:val="22"/>
          <w:szCs w:val="22"/>
        </w:rPr>
      </w:pPr>
      <w:r w:rsidRPr="009B4FE0">
        <w:rPr>
          <w:rFonts w:ascii="Arial" w:hAnsi="Arial" w:cs="Arial"/>
          <w:color w:val="212529"/>
          <w:sz w:val="22"/>
          <w:szCs w:val="22"/>
        </w:rPr>
        <w:t>ПОКАЗАТЕЛИ</w:t>
      </w:r>
    </w:p>
    <w:p w:rsidR="001B16E0" w:rsidRPr="009B4FE0" w:rsidRDefault="001B16E0" w:rsidP="001B16E0">
      <w:pPr>
        <w:pStyle w:val="pcenter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212529"/>
          <w:sz w:val="22"/>
          <w:szCs w:val="22"/>
        </w:rPr>
      </w:pPr>
      <w:r w:rsidRPr="009B4FE0">
        <w:rPr>
          <w:rFonts w:ascii="Arial" w:hAnsi="Arial" w:cs="Arial"/>
          <w:color w:val="212529"/>
          <w:sz w:val="22"/>
          <w:szCs w:val="22"/>
        </w:rPr>
        <w:t>МОТИВИРУЮЩЕГО МОНИТОРИНГА ДЕЯТЕЛЬНОСТИ ИСПОЛНИТЕЛЬНЫХ</w:t>
      </w:r>
    </w:p>
    <w:p w:rsidR="001B16E0" w:rsidRPr="009B4FE0" w:rsidRDefault="001B16E0" w:rsidP="001B16E0">
      <w:pPr>
        <w:pStyle w:val="pcenter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212529"/>
          <w:sz w:val="22"/>
          <w:szCs w:val="22"/>
        </w:rPr>
      </w:pPr>
      <w:r w:rsidRPr="009B4FE0">
        <w:rPr>
          <w:rFonts w:ascii="Arial" w:hAnsi="Arial" w:cs="Arial"/>
          <w:color w:val="212529"/>
          <w:sz w:val="22"/>
          <w:szCs w:val="22"/>
        </w:rPr>
        <w:t>ОРГАНОВ СУБЪЕКТОВ РОССИЙСКОЙ ФЕДЕРАЦИИ, ОСУЩЕСТВЛЯЮЩИХ</w:t>
      </w:r>
    </w:p>
    <w:p w:rsidR="001B16E0" w:rsidRPr="009B4FE0" w:rsidRDefault="001B16E0" w:rsidP="001B16E0">
      <w:pPr>
        <w:pStyle w:val="pcenter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212529"/>
          <w:sz w:val="22"/>
          <w:szCs w:val="22"/>
        </w:rPr>
      </w:pPr>
      <w:r w:rsidRPr="009B4FE0">
        <w:rPr>
          <w:rFonts w:ascii="Arial" w:hAnsi="Arial" w:cs="Arial"/>
          <w:color w:val="212529"/>
          <w:sz w:val="22"/>
          <w:szCs w:val="22"/>
        </w:rPr>
        <w:t>ГОСУДАРСТВЕННОЕ УПРАВЛЕНИЕ В СФЕРЕ ОБРАЗОВАНИЯ</w:t>
      </w:r>
    </w:p>
    <w:p w:rsidR="00DF77A5" w:rsidRDefault="00DF77A5" w:rsidP="001B16E0">
      <w:pPr>
        <w:pStyle w:val="pboth"/>
        <w:shd w:val="clear" w:color="auto" w:fill="FFFFFF"/>
        <w:spacing w:before="0" w:beforeAutospacing="0" w:line="276" w:lineRule="auto"/>
        <w:jc w:val="both"/>
        <w:rPr>
          <w:rFonts w:ascii="Arial" w:hAnsi="Arial" w:cs="Arial"/>
          <w:color w:val="212529"/>
          <w:sz w:val="20"/>
          <w:szCs w:val="20"/>
        </w:rPr>
      </w:pPr>
    </w:p>
    <w:p w:rsidR="001B16E0" w:rsidRPr="00DF77A5" w:rsidRDefault="00DF77A5" w:rsidP="001B16E0">
      <w:pPr>
        <w:pStyle w:val="pboth"/>
        <w:shd w:val="clear" w:color="auto" w:fill="FFFFFF"/>
        <w:spacing w:before="0" w:beforeAutospacing="0" w:line="276" w:lineRule="auto"/>
        <w:jc w:val="both"/>
        <w:rPr>
          <w:rFonts w:ascii="Arial" w:hAnsi="Arial" w:cs="Arial"/>
          <w:color w:val="212529"/>
          <w:sz w:val="20"/>
          <w:szCs w:val="20"/>
        </w:rPr>
      </w:pPr>
      <w:r w:rsidRPr="00DF77A5">
        <w:rPr>
          <w:rFonts w:ascii="Arial" w:hAnsi="Arial" w:cs="Arial"/>
          <w:color w:val="212529"/>
          <w:sz w:val="20"/>
          <w:szCs w:val="20"/>
        </w:rPr>
        <w:t xml:space="preserve">Методология мотивирующего мониторинга </w:t>
      </w:r>
      <w:r>
        <w:rPr>
          <w:rFonts w:ascii="Arial" w:hAnsi="Arial" w:cs="Arial"/>
          <w:color w:val="212529"/>
          <w:sz w:val="20"/>
          <w:szCs w:val="20"/>
        </w:rPr>
        <w:t>деятельности исполнительных органов субъектов РФ, осуществляющих управление в сфере образования, утверждена 22 июня 2023 года Распоряжением № Р-139.</w:t>
      </w:r>
      <w:bookmarkStart w:id="0" w:name="_GoBack"/>
      <w:bookmarkEnd w:id="0"/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8"/>
        <w:gridCol w:w="43"/>
        <w:gridCol w:w="3608"/>
        <w:gridCol w:w="19"/>
        <w:gridCol w:w="2548"/>
        <w:gridCol w:w="6"/>
        <w:gridCol w:w="1962"/>
      </w:tblGrid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A202FF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618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" w:name="100177"/>
            <w:bookmarkEnd w:id="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Мотивация исполнительного органа субъекта Российской Федерации, осуществляющего государственное управление в сфере образования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" w:name="100178"/>
            <w:bookmarkEnd w:id="2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Ответственное структурное подразделение Министерства просвещения Российской Федерации</w:t>
            </w:r>
          </w:p>
        </w:tc>
      </w:tr>
      <w:tr w:rsidR="001B16E0" w:rsidRPr="00A202FF" w:rsidTr="007D76B2">
        <w:tc>
          <w:tcPr>
            <w:tcW w:w="0" w:type="auto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3" w:name="100179"/>
            <w:bookmarkEnd w:id="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I. Показатели создания условий для достижения результатов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4" w:name="100180"/>
            <w:bookmarkEnd w:id="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1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5" w:name="100181"/>
            <w:bookmarkEnd w:id="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Темп роста доли фонда оплаты труда педагогических работников в общем фонде оплаты труда работников образовательных организаций в субъекте Российской Федерации,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6" w:name="100182"/>
            <w:bookmarkEnd w:id="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эффективности использования финансовых ресурсов, создание условий для обеспечения роста качества образования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7" w:name="100183"/>
            <w:bookmarkEnd w:id="7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и управления в сфере общего образования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8" w:name="100184"/>
            <w:bookmarkEnd w:id="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2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9" w:name="100185"/>
            <w:bookmarkEnd w:id="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фонда оплаты труда руководящих работников в общем фонде оплаты труда работников образовательных организаций в субъекте Российской Федерации,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0" w:name="100186"/>
            <w:bookmarkEnd w:id="1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эффективности использования финансовых ресурсов, создание условий для обеспечения роста качества образования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1" w:name="100187"/>
            <w:bookmarkEnd w:id="11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и управления в сфере общего образования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2" w:name="100188"/>
            <w:bookmarkEnd w:id="1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3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3" w:name="100189"/>
            <w:bookmarkEnd w:id="1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Отношение средней заработной платы учителей к среднемесячной начисленной заработной плате наемных работников в организациях, у индивидуальных предпринимателей и физических лиц в субъекте Российской Федерации,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4" w:name="100190"/>
            <w:bookmarkEnd w:id="1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удовлетворенности учителей, создание условий для обеспечения роста качества образования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5" w:name="100191"/>
            <w:bookmarkEnd w:id="15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подготовки, профессионального развития и социального обеспечения педагогических работников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6" w:name="100192"/>
            <w:bookmarkEnd w:id="1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4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7" w:name="100193"/>
            <w:bookmarkEnd w:id="1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Темп роста численности обучающихся (воспитанники, учащиеся, студенты) в расчете на од</w:t>
            </w:r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ного работника образовательных организаций в субъекте Российской Федерации,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8" w:name="100194"/>
            <w:bookmarkEnd w:id="1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 xml:space="preserve">Повышение эффективности использования финансовых ресурсов, создание </w:t>
            </w:r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условий для обеспечения роста качества образования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9" w:name="100195"/>
            <w:bookmarkEnd w:id="19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lastRenderedPageBreak/>
              <w:t>Департамент государственной политики и управления в сфере общего образования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0" w:name="100196"/>
            <w:bookmarkEnd w:id="2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5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1" w:name="100197"/>
            <w:bookmarkEnd w:id="2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Численность педагогических работников в расчете на одного руководящего работника образовательных организаций в субъекте Российской Федерации, человек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2" w:name="100198"/>
            <w:bookmarkEnd w:id="2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эффективности использования финансовых ресурсов, снижение административной нагрузки на педагогических работников в субъекте Российской Федерации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3" w:name="100199"/>
            <w:bookmarkEnd w:id="23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и управления в сфере общего образования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4" w:name="100200"/>
            <w:bookmarkEnd w:id="2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6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5" w:name="100201"/>
            <w:bookmarkEnd w:id="2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государственных услуг и функций в сфере образования, переведенных в электронный вид, в общем числе государственных услуг и функций в сфере образования в субъекте Российской Федерации,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6" w:name="100202"/>
            <w:bookmarkEnd w:id="2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"цифровой зрелости" системы образования, развитие возможностей управления системой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7" w:name="100203"/>
            <w:bookmarkEnd w:id="27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цифровой трансформации и больших данных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8" w:name="100204"/>
            <w:bookmarkEnd w:id="2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7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9" w:name="100205"/>
            <w:bookmarkEnd w:id="2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общеобразовательных организаций, использующих информационно-коммуникационную образовательную платформу в составе федеральной информационно-сервисной платформы ЦОС, в общем числе общеобразовательных организаций в субъекте Российской Федерации,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30" w:name="100206"/>
            <w:bookmarkEnd w:id="3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эффективности организации процессов, повышение "цифровой зрелости" системы образования, развитие возможностей управления системой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31" w:name="100207"/>
            <w:bookmarkEnd w:id="31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цифровой трансформации и больших данных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32" w:name="100208"/>
            <w:bookmarkEnd w:id="3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8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33" w:name="100209"/>
            <w:bookmarkEnd w:id="3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Численность обучающихся по адаптированным основным образовательным программам начального общего, основного общего и среднего общего образования в расчете на одного учителя-дефектолога, учителя-логопеда, человек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34" w:name="100210"/>
            <w:bookmarkEnd w:id="3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Создание условий для образования обучающихся с ограниченными возможностями здоровья, рост кадровой обеспеченности образования обучающихся с ограниченными возможностями здоровья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35" w:name="100211"/>
            <w:bookmarkEnd w:id="35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защиты прав детей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36" w:name="100212"/>
            <w:bookmarkEnd w:id="3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9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37" w:name="100213"/>
            <w:bookmarkEnd w:id="3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общеобразовательных организаций, имеющих школьный театр, в общем числе общеобразовательных организаций в субъекте Российской Федерации,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38" w:name="100214"/>
            <w:bookmarkEnd w:id="3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Развитие способностей и талантов обучающихся, развитие возможностей для успешной самореализации в каждой образовательной организации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39" w:name="100215"/>
            <w:bookmarkEnd w:id="39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воспитания, дополнительного образования и детского отдыха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40" w:name="100216"/>
            <w:bookmarkEnd w:id="4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10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41" w:name="100217"/>
            <w:bookmarkEnd w:id="4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общеобразовательных организаций, имеющих школьный музей, в общем числе общеобразовательных организаций в субъекте Российской Федерации,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42" w:name="100218"/>
            <w:bookmarkEnd w:id="4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Развитие способностей и талантов обучающихся, развитие возможностей для успешной самореализации в каждой образовательной организации, развитие патриотического воспитания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43" w:name="100219"/>
            <w:bookmarkEnd w:id="43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воспитания, дополнительного образования и детского отдыха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44" w:name="100220"/>
            <w:bookmarkEnd w:id="4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11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45" w:name="100221"/>
            <w:bookmarkEnd w:id="4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общеобразовательных организаций, имеющих школьный спортивный клуб, в общем числе общеобразовательных организаций в субъекте Российской Федерации,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46" w:name="100222"/>
            <w:bookmarkEnd w:id="4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Развитие способностей и талантов обучающихся, развитие возможностей для успешной самореализации в каждой образовательной организации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47" w:name="100223"/>
            <w:bookmarkEnd w:id="47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воспитания, дополнительного образования и детского отдыха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48" w:name="100224"/>
            <w:bookmarkEnd w:id="4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12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49" w:name="100225"/>
            <w:bookmarkEnd w:id="4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Доля общеобразовательных организаций, прошедших самодиагностику в рамках проекта "Школа </w:t>
            </w: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Минпросвещения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 России", в общем числе общеобразовательных организаций в субъекте Российской Федерации, % (</w:t>
            </w:r>
            <w:r w:rsidRPr="00A202FF">
              <w:rPr>
                <w:rFonts w:ascii="Arial" w:eastAsia="Times New Roman" w:hAnsi="Arial" w:cs="Arial"/>
                <w:b/>
                <w:color w:val="212529"/>
                <w:lang w:eastAsia="ru-RU"/>
              </w:rPr>
              <w:t>с 4 квартала 2023 г</w:t>
            </w:r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.)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50" w:name="100226"/>
            <w:bookmarkEnd w:id="5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Создание условий для повышения качества общего образования, формирования единого образовательного пространства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51" w:name="100227"/>
            <w:bookmarkEnd w:id="51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и управления в сфере общего образования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52" w:name="100228"/>
            <w:bookmarkEnd w:id="5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13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53" w:name="100229"/>
            <w:bookmarkEnd w:id="5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государственных общеобразовательных организаций в общем числе государственных и муниципальных общеобразовательных организаций в субъекте Российской Федерации, % (с 4 квартала 2023 г.)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54" w:name="100230"/>
            <w:bookmarkEnd w:id="5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Создание условий для обеспечения роста качества образования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55" w:name="100231"/>
            <w:bookmarkEnd w:id="55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и управления в сфере общего образования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56" w:name="100232"/>
            <w:bookmarkEnd w:id="5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14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57" w:name="100233"/>
            <w:bookmarkEnd w:id="5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Уровень соответствия региональной системы среднего профессионального образования потребностям экономики субъекта Российской Федерации, баллов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58" w:name="100234"/>
            <w:bookmarkEnd w:id="5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Синхронизация системы подготовки кадров региона с потребностями рынка труда (в том числе для малого и среднего предпринимательства)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59" w:name="100235"/>
            <w:bookmarkEnd w:id="59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среднего профессионального образования и профессионального обучения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60" w:name="100236"/>
            <w:bookmarkEnd w:id="6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15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61" w:name="100237"/>
            <w:bookmarkEnd w:id="6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внебюджетных средств в общем объеме финансирования профессиональных образовательных организаций,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62" w:name="100238"/>
            <w:bookmarkEnd w:id="6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финансовой устойчивости организаций среднего профессионального образования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63" w:name="100239"/>
            <w:bookmarkEnd w:id="63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среднего профессионального образования и профессионального обучения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64" w:name="100240"/>
            <w:bookmarkEnd w:id="6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16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65" w:name="100241"/>
            <w:bookmarkEnd w:id="6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преподавателей и мастеров производственного обучения профессиональных образовательных организаций, прошедших повышение квалификации в рамках федерального проекта "</w:t>
            </w: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Профессионалитет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",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66" w:name="100242"/>
            <w:bookmarkEnd w:id="6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профессионального образования в части соответствия уровня педагогов современным требованиям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67" w:name="100243"/>
            <w:bookmarkEnd w:id="67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среднего профессионального образования и профессионального обучения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68" w:name="100244"/>
            <w:bookmarkEnd w:id="6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17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69" w:name="100245"/>
            <w:bookmarkEnd w:id="6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профессиональных образовательных организаций, преподаватели и мастера производственного обучения которых прошли повышение квалификации в рамках федерального проекта "</w:t>
            </w: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Профессионалитет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",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70" w:name="100246"/>
            <w:bookmarkEnd w:id="7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профессионального образования в части соответствия уровня педагогов современным требованиям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71" w:name="100247"/>
            <w:bookmarkEnd w:id="71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среднего профессионального образования и профессионального обучения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72" w:name="100248"/>
            <w:bookmarkEnd w:id="7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18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73" w:name="100249"/>
            <w:bookmarkEnd w:id="7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обучающихся за счет бюджетных ассигнований бюджета субъекта Российской Федерации в общей численности обучающихся по образовательным программам среднего профессионального образования,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74" w:name="100250"/>
            <w:bookmarkEnd w:id="7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Реализация субъектом Российской Федерации государственных гарантий на предоставление общедоступного и бесплатного среднего профессионального образования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75" w:name="100251"/>
            <w:bookmarkEnd w:id="75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среднего профессионального образования и профессионального обучения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76" w:name="100252"/>
            <w:bookmarkEnd w:id="7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19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77" w:name="100253"/>
            <w:bookmarkEnd w:id="7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Темп прироста численности принятых на обучение по образовательным программам среднего профессионального образования за счет бюджетных ассигнований бюджета субъекта Российской Федерации по отраслям, ключевым для обеспечения безопасности, суверенитета и конкурентоспособности России,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78" w:name="100254"/>
            <w:bookmarkEnd w:id="7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Обеспечение увеличения приема на обучение по образовательным программам среднего профессионального образования по отраслям, ключевым для обеспечения безопасности, суверенитета и конкурентоспособности России, за счет бюджетных ассигнований бюджета субъекта Российской Федерации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79" w:name="100255"/>
            <w:bookmarkEnd w:id="79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среднего профессионального образования и профессионального обучения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80" w:name="100256"/>
            <w:bookmarkEnd w:id="8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20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81" w:name="100257"/>
            <w:bookmarkEnd w:id="8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Использование лабораторного оборудования,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82" w:name="100258"/>
            <w:bookmarkEnd w:id="8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доли общеобразовательных организаций, предоставляющих полноценные возможности изучения естественно-научных дисциплин с включением практикумов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83" w:name="100259"/>
            <w:bookmarkEnd w:id="83"/>
            <w:proofErr w:type="spellStart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84" w:name="100260"/>
            <w:bookmarkEnd w:id="8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21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85" w:name="100261"/>
            <w:bookmarkEnd w:id="8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Использование компьютеров,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86" w:name="100262"/>
            <w:bookmarkEnd w:id="8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доли общеобразовательных организаций, предоставляющих полноценные возможности изучения информатики и ИКТ на основе практической работы с компьютером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87" w:name="100263"/>
            <w:bookmarkEnd w:id="87"/>
            <w:proofErr w:type="spellStart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88" w:name="100264"/>
            <w:bookmarkEnd w:id="8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22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89" w:name="100265"/>
            <w:bookmarkEnd w:id="8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Уровень объективности оценки образовательных результатов, %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90" w:name="100266"/>
            <w:bookmarkEnd w:id="9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уровня объективности в оценке качества образования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91" w:name="100267"/>
            <w:bookmarkEnd w:id="91"/>
            <w:proofErr w:type="spellStart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9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92" w:name="100268"/>
            <w:bookmarkEnd w:id="9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23</w:t>
            </w:r>
          </w:p>
        </w:tc>
        <w:tc>
          <w:tcPr>
            <w:tcW w:w="36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93" w:name="100269"/>
            <w:bookmarkEnd w:id="9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Аналитика и интерпретация результатов ГИА, баллов</w:t>
            </w:r>
          </w:p>
        </w:tc>
        <w:tc>
          <w:tcPr>
            <w:tcW w:w="25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94" w:name="100270"/>
            <w:bookmarkEnd w:id="9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и объективности оценивания экзаменационных работ участников ЕГЭ, содержательный анализ результатов ЕГЭ и ОГЭ в разрезе общеобразовательных результатов</w:t>
            </w:r>
          </w:p>
        </w:tc>
        <w:tc>
          <w:tcPr>
            <w:tcW w:w="19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95" w:name="100271"/>
            <w:bookmarkEnd w:id="95"/>
            <w:proofErr w:type="spellStart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7D76B2">
        <w:tc>
          <w:tcPr>
            <w:tcW w:w="0" w:type="auto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96" w:name="100272"/>
            <w:bookmarkEnd w:id="96"/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II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. Показатели достижения учебных и воспитательных результатов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97" w:name="100273"/>
            <w:bookmarkEnd w:id="9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24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98" w:name="100274"/>
            <w:bookmarkEnd w:id="9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Достижение минимального уровня подготовки, %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99" w:name="100275"/>
            <w:bookmarkEnd w:id="9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Снижение доли неуспешных обучающихся во всех параллелях на всех уровнях общего образования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00" w:name="100276"/>
            <w:bookmarkEnd w:id="100"/>
            <w:proofErr w:type="spellStart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01" w:name="100277"/>
            <w:bookmarkEnd w:id="10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25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02" w:name="100278"/>
            <w:bookmarkEnd w:id="10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Достижение высокого уровня подготовки, %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03" w:name="100279"/>
            <w:bookmarkEnd w:id="10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доли обучающихся с высокими результатами обучения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04" w:name="100280"/>
            <w:bookmarkEnd w:id="104"/>
            <w:proofErr w:type="spellStart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05" w:name="100281"/>
            <w:bookmarkEnd w:id="10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26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06" w:name="100282"/>
            <w:bookmarkEnd w:id="10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Образовательное равенство, %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07" w:name="100283"/>
            <w:bookmarkEnd w:id="10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Снижение различий в результатах общеобразовательных организаций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08" w:name="100284"/>
            <w:bookmarkEnd w:id="108"/>
            <w:proofErr w:type="spellStart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09" w:name="100285"/>
            <w:bookmarkEnd w:id="10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27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10" w:name="100286"/>
            <w:bookmarkEnd w:id="11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Функциональная грамотность, %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11" w:name="100287"/>
            <w:bookmarkEnd w:id="11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уровня функциональной грамотности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12" w:name="100288"/>
            <w:bookmarkEnd w:id="112"/>
            <w:proofErr w:type="spellStart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13" w:name="100289"/>
            <w:bookmarkEnd w:id="11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28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14" w:name="100290"/>
            <w:bookmarkEnd w:id="11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Общеобразовательная подготовка в среднем профессиональном образовании, %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15" w:name="100291"/>
            <w:bookmarkEnd w:id="11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уровня общеобразовательной подготовки в среднем профессиональном образовании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16" w:name="100292"/>
            <w:bookmarkEnd w:id="116"/>
            <w:proofErr w:type="spellStart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17" w:name="100293"/>
            <w:bookmarkEnd w:id="11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29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18" w:name="100294"/>
            <w:bookmarkEnd w:id="11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Поступление в образовательные организации среднего профессионального образования региона, %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19" w:name="100295"/>
            <w:bookmarkEnd w:id="11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доли обучающихся, ориентированных на выбор конкретных специальностей, связанных с экономикой региона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20" w:name="100296"/>
            <w:bookmarkEnd w:id="120"/>
            <w:proofErr w:type="spellStart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21" w:name="100297"/>
            <w:bookmarkEnd w:id="12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30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22" w:name="100298"/>
            <w:bookmarkEnd w:id="12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Поступление в образовательные организации высшего образования своего региона, %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23" w:name="100299"/>
            <w:bookmarkEnd w:id="12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доли обучающихся, ориентированных на выбор конкретных специальностей, связанных с экономикой региона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24" w:name="100300"/>
            <w:bookmarkEnd w:id="124"/>
            <w:proofErr w:type="spellStart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25" w:name="100301"/>
            <w:bookmarkEnd w:id="12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31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26" w:name="100302"/>
            <w:bookmarkEnd w:id="12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выпускников 11-х классов, получивших медаль "За особые успехи в учении", которые набрали по одному из предметов ЕГЭ менее 70 баллов, в общей численности выпускников 11-х классов, получивших медаль "За особые успехи в учении", %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27" w:name="100303"/>
            <w:bookmarkEnd w:id="12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объективности оценки образовательных результатов обучающихся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28" w:name="100304"/>
            <w:bookmarkEnd w:id="128"/>
            <w:proofErr w:type="spellStart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29" w:name="100305"/>
            <w:bookmarkEnd w:id="12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32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30" w:name="100306"/>
            <w:bookmarkEnd w:id="130"/>
            <w:r w:rsidRPr="009B4FE0">
              <w:rPr>
                <w:rFonts w:ascii="Arial" w:eastAsia="Times New Roman" w:hAnsi="Arial" w:cs="Arial"/>
                <w:color w:val="212529"/>
                <w:shd w:val="clear" w:color="auto" w:fill="DEEAF6" w:themeFill="accent5" w:themeFillTint="33"/>
                <w:lang w:eastAsia="ru-RU"/>
              </w:rPr>
              <w:t>Количество дипломов победителей и призеров заключительного этапа Всероссийской олимпиады школьников</w:t>
            </w:r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 в расчете на 1000 школьников 9 - 11-х классов в субъекте Российской Федерации, единиц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31" w:name="100307"/>
            <w:bookmarkEnd w:id="13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общего образования, развитие способностей и талантов обучающихся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32" w:name="100308"/>
            <w:bookmarkEnd w:id="132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и управления в сфере общего образования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33" w:name="100309"/>
            <w:bookmarkEnd w:id="13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33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34" w:name="100310"/>
            <w:bookmarkEnd w:id="13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общеобразовательных организаций, в которых обучаются победители и призеры заключительного этапа Всероссийской олимпиады школьников, в общем числе общеобразовательных организаций в субъекте Российской Федерации, %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35" w:name="100311"/>
            <w:bookmarkEnd w:id="13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Снижение дифференциации в качестве образования между образовательными организациями, стимулирование повышать качество общего образования, развивать способности и таланты обучающихся в каждой образовательной организации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36" w:name="100312"/>
            <w:bookmarkEnd w:id="136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и управления в сфере общего образования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37" w:name="100313"/>
            <w:bookmarkEnd w:id="13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34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38" w:name="100314"/>
            <w:bookmarkEnd w:id="13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Численность участников финалов чемпионата по профессиональному мастерству "Профессионалы" и чемпионата высоких технологий Всероссийского чемпионатного движения по профессиональному мастерству в расчете на 100 тыс. студентов </w:t>
            </w:r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профессиональных образовательных организаций и школьников в возрасте от 14 лет в субъекте Российской Федерации, человек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39" w:name="100315"/>
            <w:bookmarkEnd w:id="13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Повышение качества профессионального образования, конкурентоспособности выпускников на рынке труда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40" w:name="100316"/>
            <w:bookmarkEnd w:id="140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среднего профессионального образования и профессионального обучения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41" w:name="100317"/>
            <w:bookmarkEnd w:id="14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35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42" w:name="100318"/>
            <w:bookmarkEnd w:id="14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Численность участников, получивших медали на национальном чемпионате по профессиональному мастерству для инвалидов и лиц с ограниченными возможностями здоровья "</w:t>
            </w: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Абилимпикс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", в расчете на 100 студентов профессиональных образовательных организаций и школьников 8 - 12-х классов с ограниченными возможностями здоровья, детей-инвалидов, инвалидов, человек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43" w:name="100319"/>
            <w:bookmarkEnd w:id="14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Расширение профессионального потенциала детей с ограниченными возможностями здоровья и инвалидов, повышение их конкурентоспособности на рынке труда в субъекте Российской Федерации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44" w:name="100320"/>
            <w:bookmarkEnd w:id="144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среднего профессионального образования и профессионального обучения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45" w:name="100321"/>
            <w:bookmarkEnd w:id="14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36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46" w:name="100322"/>
            <w:bookmarkEnd w:id="14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детей в возрасте от 5 до 18 лет, охваченных дополнительным образованием, в общей численности детей в субъекте Российской Федерации, %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47" w:name="100323"/>
            <w:bookmarkEnd w:id="14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Развитие способностей и талантов обучающихся, развитие возможностей для успешной самореализации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48" w:name="100324"/>
            <w:bookmarkEnd w:id="148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воспитания, дополнительного образования и детского отдыха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49" w:name="100325"/>
            <w:bookmarkEnd w:id="14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37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50" w:name="100326"/>
            <w:bookmarkEnd w:id="15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Количество правонарушений, совершенных несовершеннолетними жителями, в расчете на 1000 несовершеннолетних жителей в субъекте Российской Федерации, единиц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51" w:name="100327"/>
            <w:bookmarkEnd w:id="15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воспитательной работы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52" w:name="100328"/>
            <w:bookmarkEnd w:id="152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защиты прав детей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53" w:name="100329"/>
            <w:bookmarkEnd w:id="15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38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54" w:name="100330"/>
            <w:bookmarkEnd w:id="15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обучающихся по программам среднего профессионального образования, прошедших процедуру аттестации в форме демонстрационного экзамена, по всем укрупненным группам профессий и специальностей, по которым предусмотрена соответствующая форма аттестации, %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55" w:name="100331"/>
            <w:bookmarkEnd w:id="15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профессионального образования, образовательных результатов студентов, повышение их конкурентоспособности на рынке труда в субъекте Российской Федерации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56" w:name="100332"/>
            <w:bookmarkEnd w:id="156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среднего профессионального образования и профессионального обучения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57" w:name="100333"/>
            <w:bookmarkEnd w:id="15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39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58" w:name="100334"/>
            <w:bookmarkEnd w:id="15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Уровень занятости выпускников, завершивших обучение по программам среднего профессионального образования, %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59" w:name="100335"/>
            <w:bookmarkEnd w:id="15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Повышение качества профессионального образования, образовательных результатов выпускников, повышение их конкурентоспособности на </w:t>
            </w:r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рынке труда в субъекте Российской Федерации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60" w:name="100336"/>
            <w:bookmarkEnd w:id="160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lastRenderedPageBreak/>
              <w:t>Департамент государственной политики в сфере среднего профессионального образования и профессионального обучения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61" w:name="100337"/>
            <w:bookmarkEnd w:id="16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40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62" w:name="100338"/>
            <w:bookmarkEnd w:id="16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Доля обучающихся, имеющих знак </w:t>
            </w:r>
            <w:r w:rsidRPr="009B4FE0">
              <w:rPr>
                <w:rFonts w:ascii="Arial" w:eastAsia="Times New Roman" w:hAnsi="Arial" w:cs="Arial"/>
                <w:color w:val="212529"/>
                <w:shd w:val="clear" w:color="auto" w:fill="DEEAF6" w:themeFill="accent5" w:themeFillTint="33"/>
                <w:lang w:eastAsia="ru-RU"/>
              </w:rPr>
              <w:t>отличия Всероссийского физкультурно-спортивного комплекса "Готов к труду и обороне", в общей численности обучающихся общеобразовательных организаций и профессиональных образовательных организаций, % (с 3 квартала 2023 г.)</w:t>
            </w:r>
          </w:p>
        </w:tc>
        <w:tc>
          <w:tcPr>
            <w:tcW w:w="2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63" w:name="100339"/>
            <w:bookmarkEnd w:id="16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Развитие спортивного воспитания детей, увеличение числа охвата обучающихся спортивными занятиями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9B4F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64" w:name="100340"/>
            <w:bookmarkEnd w:id="164"/>
            <w:r w:rsidRPr="009B4FE0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воспитания, дополнительного образования и детского отдыха</w:t>
            </w:r>
          </w:p>
        </w:tc>
      </w:tr>
    </w:tbl>
    <w:p w:rsidR="008B5CFB" w:rsidRDefault="008B5CFB">
      <w:bookmarkStart w:id="165" w:name="100341"/>
      <w:bookmarkEnd w:id="165"/>
      <w:r>
        <w:br w:type="page"/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8"/>
        <w:gridCol w:w="3651"/>
        <w:gridCol w:w="2567"/>
        <w:gridCol w:w="1968"/>
      </w:tblGrid>
      <w:tr w:rsidR="001B16E0" w:rsidRPr="00A202FF" w:rsidTr="007D76B2">
        <w:tc>
          <w:tcPr>
            <w:tcW w:w="0" w:type="auto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III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. Показатели организации рабочих процессов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66" w:name="100342"/>
            <w:bookmarkEnd w:id="16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41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67" w:name="100343"/>
            <w:bookmarkEnd w:id="16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Кассовое исполнение по использованию межбюджетных трансфертов, предоставляемых </w:t>
            </w: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Минпросвещения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 России, %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68" w:name="100344"/>
            <w:bookmarkEnd w:id="16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69" w:name="100345"/>
            <w:bookmarkEnd w:id="169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экономики и финансов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70" w:name="100346"/>
            <w:bookmarkEnd w:id="17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42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71" w:name="100347"/>
            <w:bookmarkEnd w:id="17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Использование </w:t>
            </w: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ПОФов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 в соответствии с заявками субъектов Российской Федерации, включенными в кассовый план, %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72" w:name="100348"/>
            <w:bookmarkEnd w:id="17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73" w:name="100349"/>
            <w:bookmarkEnd w:id="173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экономики и финансов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74" w:name="100350"/>
            <w:bookmarkEnd w:id="17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43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75" w:name="100351"/>
            <w:bookmarkEnd w:id="17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Выполнение плана мероприятий реализации региональных проектов, баллов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76" w:name="100352"/>
            <w:bookmarkEnd w:id="17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77" w:name="100353"/>
            <w:bookmarkEnd w:id="177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стратегии, программной и проектной деятельности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78" w:name="100354"/>
            <w:bookmarkEnd w:id="17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44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79" w:name="100355"/>
            <w:bookmarkEnd w:id="17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Соблюдение сроков направления информации о реализации региональных проектов в системе управления общественными финансами "Электронный бюджет", баллов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80" w:name="100356"/>
            <w:bookmarkEnd w:id="18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81" w:name="100357"/>
            <w:bookmarkEnd w:id="181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стратегии, программной и проектной деятельности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82" w:name="100358"/>
            <w:bookmarkEnd w:id="18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45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83" w:name="100359"/>
            <w:bookmarkEnd w:id="18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Соблюдение качества предоставляемой отчетности по региональным проектам в системе управления общественными финансами "Электронный бюджет", баллов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84" w:name="100360"/>
            <w:bookmarkEnd w:id="18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85" w:name="100361"/>
            <w:bookmarkEnd w:id="185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стратегии, программной и проектной деятельности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86" w:name="100362"/>
            <w:bookmarkEnd w:id="18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46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87" w:name="100363"/>
            <w:bookmarkEnd w:id="18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обучающихся общеобразовательных организаций и профессиональных образовательных организаций, принявших участие в социально-психологическом тестировании на выявление рисков употребления наркотических средств и психотропных веществ, в общей численности обучающихся указанных организаций, которые могли принять участие в данном тестировании, %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88" w:name="100364"/>
            <w:bookmarkEnd w:id="18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89" w:name="100365"/>
            <w:bookmarkEnd w:id="189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защиты прав детей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90" w:name="100366"/>
            <w:bookmarkEnd w:id="19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47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91" w:name="100367"/>
            <w:bookmarkEnd w:id="19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общеобразовательных организаций и профессиональных образовательных организаций, обучающиеся которых приняли участие в социально-психологическом тестировании на выявление рисков употребления нарко</w:t>
            </w:r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тических средств и психотропных веществ, в общем числе указанных организаций, %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92" w:name="100368"/>
            <w:bookmarkEnd w:id="19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Повышение качества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93" w:name="100369"/>
            <w:bookmarkEnd w:id="193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в сфере защиты прав детей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94" w:name="100370"/>
            <w:bookmarkEnd w:id="19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48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2EFD9" w:themeFill="accent6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95" w:name="100371"/>
            <w:bookmarkEnd w:id="19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слушателей субъекта Российской Федерации, прошедших итоговую диагностику модульного курса повышения квалификации "Школа современного учителя", в общей численности слушателей, заявленных на курс от субъекта Российской Федерации, %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96" w:name="100372"/>
            <w:bookmarkEnd w:id="19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197" w:name="100373"/>
            <w:bookmarkEnd w:id="197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подготовки, профессионального развития и социального обеспечения педагогических работников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98" w:name="100374"/>
            <w:bookmarkEnd w:id="19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49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199" w:name="100375"/>
            <w:bookmarkEnd w:id="19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дополнительных профессиональных программ, размещенных в федеральном реестре дополнительных профессиональных программ, в общем числе дополнительных профессиональных программ, реализованных в субъекте Российской Федерации, %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00" w:name="100376"/>
            <w:bookmarkEnd w:id="20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01" w:name="100377"/>
            <w:bookmarkEnd w:id="201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подготовки, профессионального развития и социального обеспечения педагогических работников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02" w:name="100378"/>
            <w:bookmarkEnd w:id="20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50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2EFD9" w:themeFill="accent6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03" w:name="100379"/>
            <w:bookmarkEnd w:id="20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слушателей субъекта Российской Федерации, прошедших обучение по дополнительным профессиональным программам из федерального реестра дополнительных профессиональных программ, в общей численности слушателей субъекта Российской Федерации, прошедших обучение по дополнительным профессиональным программам, %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04" w:name="100380"/>
            <w:bookmarkEnd w:id="20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05" w:name="100381"/>
            <w:bookmarkEnd w:id="205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подготовки, профессионального развития и социального обеспечения педагогических работников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06" w:name="100382"/>
            <w:bookmarkEnd w:id="20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51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07" w:name="100383"/>
            <w:bookmarkEnd w:id="20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Качество формирования показателей федеральной информационной системы доступности дошкольного образования, баллов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08" w:name="100384"/>
            <w:bookmarkEnd w:id="20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09" w:name="100385"/>
            <w:bookmarkEnd w:id="209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государственной политики и управления в сфере общего образования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10" w:name="100386"/>
            <w:bookmarkEnd w:id="21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52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11" w:name="100387"/>
            <w:bookmarkEnd w:id="21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Эффективность организационно-технологического обеспечения проведения ЕГЭ, баллов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12" w:name="100388"/>
            <w:bookmarkEnd w:id="21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Обеспечение технологической, кадровой, организационной готовности к проведению ЕГЭ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13" w:name="100389"/>
            <w:bookmarkEnd w:id="213"/>
            <w:proofErr w:type="spellStart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14" w:name="100390"/>
            <w:bookmarkEnd w:id="21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53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15" w:name="100391"/>
            <w:bookmarkEnd w:id="21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Качество ведения </w:t>
            </w: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ОИВ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 информационных систем </w:t>
            </w: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Рособрнадзора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, баллов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16" w:name="100392"/>
            <w:bookmarkEnd w:id="21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ключевых для системы образования информационных ресурсов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17" w:name="100393"/>
            <w:bookmarkEnd w:id="217"/>
            <w:proofErr w:type="spellStart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18" w:name="100394"/>
            <w:bookmarkEnd w:id="21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54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19" w:name="100395"/>
            <w:bookmarkEnd w:id="21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Открытость деятельности ОИВ, баллов</w:t>
            </w:r>
          </w:p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212529"/>
                <w:lang w:eastAsia="ru-RU"/>
              </w:rPr>
              <w:t>ОИВ</w:t>
            </w:r>
            <w:proofErr w:type="spellEnd"/>
            <w:r>
              <w:rPr>
                <w:rFonts w:ascii="Arial" w:eastAsia="Times New Roman" w:hAnsi="Arial" w:cs="Arial"/>
                <w:color w:val="212529"/>
                <w:lang w:eastAsia="ru-RU"/>
              </w:rPr>
              <w:t xml:space="preserve"> – орган </w:t>
            </w:r>
            <w:proofErr w:type="spellStart"/>
            <w:r>
              <w:rPr>
                <w:rFonts w:ascii="Arial" w:eastAsia="Times New Roman" w:hAnsi="Arial" w:cs="Arial"/>
                <w:color w:val="212529"/>
                <w:lang w:eastAsia="ru-RU"/>
              </w:rPr>
              <w:t>исп.власти</w:t>
            </w:r>
            <w:proofErr w:type="spellEnd"/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20" w:name="100396"/>
            <w:bookmarkEnd w:id="22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открытости деятельности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21" w:name="100397"/>
            <w:bookmarkEnd w:id="221"/>
            <w:proofErr w:type="spellStart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22" w:name="100398"/>
            <w:bookmarkEnd w:id="22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55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23" w:name="100399"/>
            <w:bookmarkEnd w:id="22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Эффективность осуществления контроля (надзора) за соблюдением законодательства Российской Федерации в сфере образования при проведении ЕГЭ, баллов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24" w:name="100400"/>
            <w:bookmarkEnd w:id="22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эффективности осуществления контроля (надзора) за соблюдением законодательства Российской Федерации в сфере образования при проведении ЕГЭ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25" w:name="100401"/>
            <w:bookmarkEnd w:id="225"/>
            <w:proofErr w:type="spellStart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Рособрнадзор</w:t>
            </w:r>
            <w:proofErr w:type="spellEnd"/>
          </w:p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(по согласованию)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26" w:name="100402"/>
            <w:bookmarkEnd w:id="22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56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27" w:name="100403"/>
            <w:bookmarkEnd w:id="22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обучающихся, по которым осуществляется ведение цифрового профиля, %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28" w:name="100404"/>
            <w:bookmarkEnd w:id="22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"цифровой зрелости" системы образования в субъекте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29" w:name="100405"/>
            <w:bookmarkEnd w:id="229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цифровой трансформации и больших данных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30" w:name="100406"/>
            <w:bookmarkEnd w:id="23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57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31" w:name="100407"/>
            <w:bookmarkEnd w:id="23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обучающихся, которым предложены рекомендации по повышению качества обучения и формированию индивидуальных траекторий с использованием данных цифрового портфолио обучающегося, %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32" w:name="100408"/>
            <w:bookmarkEnd w:id="23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"цифровой зрелости" системы образования в субъекте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33" w:name="100409"/>
            <w:bookmarkEnd w:id="233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цифровой трансформации и больших данных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34" w:name="100410"/>
            <w:bookmarkEnd w:id="23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58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35" w:name="100411"/>
            <w:bookmarkEnd w:id="23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педагогических работников, получивших возможность использования верифицированного цифрового образовательного контента и цифровых образовательных сервисов, %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36" w:name="100412"/>
            <w:bookmarkEnd w:id="23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"цифровой зрелости" системы образования в субъекте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37" w:name="100413"/>
            <w:bookmarkEnd w:id="237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цифровой трансформации и больших данных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38" w:name="100414"/>
            <w:bookmarkEnd w:id="23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59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39" w:name="100415"/>
            <w:bookmarkEnd w:id="23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обучающихся, имеющих возможность бесплатного доступа к верифицированному цифровому образовательному контенту и сервисам для самостоятельной подготовки, %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40" w:name="100416"/>
            <w:bookmarkEnd w:id="24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"цифровой зрелости" системы образования в субъекте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41" w:name="100417"/>
            <w:bookmarkEnd w:id="241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цифровой трансформации и больших данных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42" w:name="100418"/>
            <w:bookmarkEnd w:id="24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60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Default="001B16E0" w:rsidP="008B5CFB">
            <w:pPr>
              <w:spacing w:after="0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43" w:name="100419"/>
            <w:bookmarkEnd w:id="24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заданий в электронной форме для учащихся, проверяемых с использованием технологий автоматизированной проверки, %</w:t>
            </w:r>
          </w:p>
          <w:p w:rsidR="001B16E0" w:rsidRPr="00A202FF" w:rsidRDefault="001B16E0" w:rsidP="008B5CFB">
            <w:pPr>
              <w:spacing w:after="0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r>
              <w:rPr>
                <w:rFonts w:ascii="Arial" w:eastAsia="Times New Roman" w:hAnsi="Arial" w:cs="Arial"/>
                <w:color w:val="212529"/>
                <w:lang w:eastAsia="ru-RU"/>
              </w:rPr>
              <w:t>РЭШ!!!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44" w:name="100420"/>
            <w:bookmarkEnd w:id="24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"цифровой зрелости" системы образования в субъекте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45" w:name="100421"/>
            <w:bookmarkEnd w:id="245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цифровой трансформации и больших данных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46" w:name="100422"/>
            <w:bookmarkEnd w:id="24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61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2EFD9" w:themeFill="accent6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47" w:name="100423"/>
            <w:bookmarkEnd w:id="247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Доля педагогических работников и управленческих кадров системы общего образования, дополнительного образования де</w:t>
            </w:r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тей и профессионального образования отдельных субъектов Российской Федерации, прошедших повышение уровня профессионального мастерства по дополнительным профессиональным программам, в общей числе</w:t>
            </w:r>
            <w:r w:rsidRPr="00DC2132">
              <w:rPr>
                <w:rFonts w:ascii="Arial" w:eastAsia="Times New Roman" w:hAnsi="Arial" w:cs="Arial"/>
                <w:color w:val="212529"/>
                <w:shd w:val="clear" w:color="auto" w:fill="E2EFD9" w:themeFill="accent6" w:themeFillTint="33"/>
                <w:lang w:eastAsia="ru-RU"/>
              </w:rPr>
              <w:t>н</w:t>
            </w:r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ности педагогических работников и управленческих кадров системы общего образования, дополнительного образования детей и профессионального образования отдельных субъектов Российской Федерации, %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48" w:name="100424"/>
            <w:bookmarkEnd w:id="24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Повышение качества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49" w:name="100425"/>
            <w:bookmarkEnd w:id="249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развития систем образования от</w:t>
            </w:r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lastRenderedPageBreak/>
              <w:t>дельных субъектов Российской Федерации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50" w:name="100426"/>
            <w:bookmarkEnd w:id="25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lastRenderedPageBreak/>
              <w:t>62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51" w:name="100427"/>
            <w:bookmarkEnd w:id="251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Доля выпускников общеобразовательных организаций, поступивших на обучение по программам </w:t>
            </w: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бакалавриата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 и </w:t>
            </w: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специалитета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 в рамках УГСН 44.00.00 "Образование и педагогические науки" на условиях целевого обучения, в общей численности выпускников, поступивших на обучение по программам </w:t>
            </w: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бакалавриата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 и </w:t>
            </w: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специалитета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 в рамках УГСН 44.00.00 "Образование и педагогические науки", %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52" w:name="100428"/>
            <w:bookmarkEnd w:id="25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53" w:name="100429"/>
            <w:bookmarkEnd w:id="253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подготовки, профессионального развития и социального обеспечения педагогических кадров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54" w:name="100430"/>
            <w:bookmarkEnd w:id="254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63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55" w:name="100431"/>
            <w:bookmarkEnd w:id="25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Доля трудоустройства выпускников по программам </w:t>
            </w: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бакалавриата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 xml:space="preserve"> и </w:t>
            </w:r>
            <w:proofErr w:type="spellStart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специалитета</w:t>
            </w:r>
            <w:proofErr w:type="spellEnd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, завершивших подготовку по договору о целевом обучении в рамках УГСН 44.00.00 "Образование и педагогические науки", %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56" w:name="100432"/>
            <w:bookmarkEnd w:id="256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Повышение качества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57" w:name="100433"/>
            <w:bookmarkEnd w:id="257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подготовки, профессионального развития и социального обеспечения педагогических кадров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58" w:name="100434"/>
            <w:bookmarkEnd w:id="258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64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59" w:name="100435"/>
            <w:bookmarkEnd w:id="259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Создание новых мест в общеобразовательных организациях, единиц</w:t>
            </w:r>
          </w:p>
        </w:tc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60" w:name="100436"/>
            <w:bookmarkEnd w:id="260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Показатель характеризует качество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DC2132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</w:pPr>
            <w:bookmarkStart w:id="261" w:name="100437"/>
            <w:bookmarkEnd w:id="261"/>
            <w:r w:rsidRPr="00DC2132">
              <w:rPr>
                <w:rFonts w:ascii="Arial" w:eastAsia="Times New Roman" w:hAnsi="Arial" w:cs="Arial"/>
                <w:color w:val="212529"/>
                <w:sz w:val="20"/>
                <w:szCs w:val="20"/>
                <w:lang w:eastAsia="ru-RU"/>
              </w:rPr>
              <w:t>Департамент развития инфраструктуры</w:t>
            </w:r>
          </w:p>
        </w:tc>
      </w:tr>
      <w:tr w:rsidR="001B16E0" w:rsidRPr="00A202FF" w:rsidTr="008B5CFB">
        <w:tc>
          <w:tcPr>
            <w:tcW w:w="8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62" w:name="100438"/>
            <w:bookmarkEnd w:id="262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65</w:t>
            </w:r>
          </w:p>
        </w:tc>
        <w:tc>
          <w:tcPr>
            <w:tcW w:w="3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63" w:name="100439"/>
            <w:bookmarkEnd w:id="263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Модернизация школьных систем образования (капитальный ремонт общеобразовательных организаций), единиц</w:t>
            </w:r>
          </w:p>
        </w:tc>
        <w:bookmarkStart w:id="264" w:name="100440"/>
        <w:bookmarkEnd w:id="264"/>
        <w:tc>
          <w:tcPr>
            <w:tcW w:w="2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EEE4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12529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D490DAD" wp14:editId="569E951D">
                      <wp:simplePos x="0" y="0"/>
                      <wp:positionH relativeFrom="column">
                        <wp:posOffset>758190</wp:posOffset>
                      </wp:positionH>
                      <wp:positionV relativeFrom="paragraph">
                        <wp:posOffset>1113790</wp:posOffset>
                      </wp:positionV>
                      <wp:extent cx="142875" cy="457200"/>
                      <wp:effectExtent l="19050" t="19050" r="28575" b="19050"/>
                      <wp:wrapNone/>
                      <wp:docPr id="2" name="Стрелка вверх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457200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6ECB9C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Стрелка вверх 2" o:spid="_x0000_s1026" type="#_x0000_t68" style="position:absolute;margin-left:59.7pt;margin-top:87.7pt;width:11.2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" adj="3375" fillcolor="#ed7d31 [3205]" strokecolor="#823b0b [1605]" strokeweight="1pt"/>
                  </w:pict>
                </mc:Fallback>
              </mc:AlternateContent>
            </w:r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Показатель характеризует качество административной работы исполнительного органа субъекта Российской Федерации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16E0" w:rsidRPr="00A202FF" w:rsidRDefault="001B16E0" w:rsidP="007D76B2">
            <w:pPr>
              <w:spacing w:after="100" w:afterAutospacing="1" w:line="276" w:lineRule="auto"/>
              <w:ind w:left="124" w:right="84"/>
              <w:rPr>
                <w:rFonts w:ascii="Arial" w:eastAsia="Times New Roman" w:hAnsi="Arial" w:cs="Arial"/>
                <w:color w:val="212529"/>
                <w:lang w:eastAsia="ru-RU"/>
              </w:rPr>
            </w:pPr>
            <w:bookmarkStart w:id="265" w:name="100441"/>
            <w:bookmarkEnd w:id="265"/>
            <w:r w:rsidRPr="00A202FF">
              <w:rPr>
                <w:rFonts w:ascii="Arial" w:eastAsia="Times New Roman" w:hAnsi="Arial" w:cs="Arial"/>
                <w:color w:val="212529"/>
                <w:lang w:eastAsia="ru-RU"/>
              </w:rPr>
              <w:t>Департамент развития инфраструктуры</w:t>
            </w:r>
          </w:p>
        </w:tc>
      </w:tr>
    </w:tbl>
    <w:p w:rsidR="001B16E0" w:rsidRDefault="001B16E0" w:rsidP="001B16E0">
      <w:pPr>
        <w:shd w:val="clear" w:color="auto" w:fill="FFFFFF" w:themeFill="background1"/>
        <w:spacing w:after="0"/>
        <w:ind w:firstLine="567"/>
        <w:jc w:val="both"/>
        <w:rPr>
          <w:rFonts w:cstheme="minorHAnsi"/>
          <w:sz w:val="26"/>
          <w:szCs w:val="26"/>
        </w:rPr>
      </w:pPr>
    </w:p>
    <w:p w:rsidR="001B16E0" w:rsidRDefault="001B16E0" w:rsidP="001B16E0">
      <w:pPr>
        <w:shd w:val="clear" w:color="auto" w:fill="FFFFFF" w:themeFill="background1"/>
        <w:spacing w:after="0"/>
        <w:ind w:firstLine="567"/>
        <w:jc w:val="both"/>
        <w:rPr>
          <w:rFonts w:cstheme="minorHAnsi"/>
          <w:sz w:val="26"/>
          <w:szCs w:val="26"/>
        </w:rPr>
      </w:pPr>
    </w:p>
    <w:p w:rsidR="001B16E0" w:rsidRPr="00816883" w:rsidRDefault="001B16E0" w:rsidP="001B16E0">
      <w:pPr>
        <w:shd w:val="clear" w:color="auto" w:fill="FFFFFF" w:themeFill="background1"/>
        <w:spacing w:after="0"/>
        <w:ind w:firstLine="567"/>
        <w:jc w:val="both"/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 xml:space="preserve">                                                                   Основание для формулирования задач!!!</w:t>
      </w:r>
    </w:p>
    <w:p w:rsidR="004F03F6" w:rsidRPr="004F03F6" w:rsidRDefault="004F03F6" w:rsidP="004F03F6">
      <w:pPr>
        <w:jc w:val="both"/>
        <w:rPr>
          <w:rFonts w:ascii="Franklin Gothic Book" w:hAnsi="Franklin Gothic Book" w:cs="Times New Roman"/>
          <w:b/>
          <w:sz w:val="26"/>
          <w:szCs w:val="26"/>
        </w:rPr>
      </w:pPr>
    </w:p>
    <w:p w:rsidR="00814B1B" w:rsidRPr="00814B1B" w:rsidRDefault="00814B1B" w:rsidP="00814B1B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14B1B" w:rsidRPr="00814B1B" w:rsidRDefault="00814B1B" w:rsidP="00857BA9">
      <w:pPr>
        <w:rPr>
          <w:rFonts w:ascii="Times New Roman" w:hAnsi="Times New Roman" w:cs="Times New Roman"/>
          <w:sz w:val="26"/>
          <w:szCs w:val="26"/>
        </w:rPr>
      </w:pPr>
    </w:p>
    <w:p w:rsidR="00814B1B" w:rsidRPr="00814B1B" w:rsidRDefault="00814B1B" w:rsidP="00857BA9">
      <w:pPr>
        <w:rPr>
          <w:rFonts w:ascii="Times New Roman" w:hAnsi="Times New Roman" w:cs="Times New Roman"/>
          <w:sz w:val="26"/>
          <w:szCs w:val="26"/>
        </w:rPr>
      </w:pPr>
    </w:p>
    <w:p w:rsidR="004C4E25" w:rsidRPr="00814B1B" w:rsidRDefault="00DF77A5">
      <w:pPr>
        <w:rPr>
          <w:sz w:val="26"/>
          <w:szCs w:val="26"/>
        </w:rPr>
      </w:pPr>
    </w:p>
    <w:p w:rsidR="00814B1B" w:rsidRPr="00814B1B" w:rsidRDefault="00814B1B">
      <w:pPr>
        <w:rPr>
          <w:sz w:val="26"/>
          <w:szCs w:val="26"/>
        </w:rPr>
      </w:pPr>
    </w:p>
    <w:sectPr w:rsidR="00814B1B" w:rsidRPr="00814B1B" w:rsidSect="00952EE7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884CBC"/>
    <w:multiLevelType w:val="hybridMultilevel"/>
    <w:tmpl w:val="1674AE4E"/>
    <w:lvl w:ilvl="0" w:tplc="EF86ADE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D762B9C"/>
    <w:multiLevelType w:val="hybridMultilevel"/>
    <w:tmpl w:val="110688EE"/>
    <w:lvl w:ilvl="0" w:tplc="B19EB2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3E5BDC"/>
    <w:multiLevelType w:val="hybridMultilevel"/>
    <w:tmpl w:val="A120B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BA9"/>
    <w:rsid w:val="000C5AFE"/>
    <w:rsid w:val="001147CD"/>
    <w:rsid w:val="001A16E1"/>
    <w:rsid w:val="001B16E0"/>
    <w:rsid w:val="00236202"/>
    <w:rsid w:val="002A5734"/>
    <w:rsid w:val="002B5E23"/>
    <w:rsid w:val="002E6D7E"/>
    <w:rsid w:val="00306392"/>
    <w:rsid w:val="00454D62"/>
    <w:rsid w:val="004A3725"/>
    <w:rsid w:val="004F03F6"/>
    <w:rsid w:val="00547BE2"/>
    <w:rsid w:val="008137CC"/>
    <w:rsid w:val="00814B1B"/>
    <w:rsid w:val="00857BA9"/>
    <w:rsid w:val="00896144"/>
    <w:rsid w:val="008B5CFB"/>
    <w:rsid w:val="00952EE7"/>
    <w:rsid w:val="0099655A"/>
    <w:rsid w:val="009A0F83"/>
    <w:rsid w:val="00B93B21"/>
    <w:rsid w:val="00D07477"/>
    <w:rsid w:val="00DB74C9"/>
    <w:rsid w:val="00DC3CCA"/>
    <w:rsid w:val="00DF77A5"/>
    <w:rsid w:val="00EE5748"/>
    <w:rsid w:val="00F4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24C60"/>
  <w15:chartTrackingRefBased/>
  <w15:docId w15:val="{8D9E4866-1BA4-43E9-97A8-91025B824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CCA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table" w:styleId="a7">
    <w:name w:val="Table Grid"/>
    <w:basedOn w:val="a1"/>
    <w:uiPriority w:val="39"/>
    <w:rsid w:val="00F47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both">
    <w:name w:val="pboth"/>
    <w:basedOn w:val="a"/>
    <w:rsid w:val="001B1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center">
    <w:name w:val="pcenter"/>
    <w:basedOn w:val="a"/>
    <w:rsid w:val="001B1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13</Pages>
  <Words>3501</Words>
  <Characters>19958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Кычкина Антонина Анатольевна</dc:creator>
  <cp:keywords/>
  <dc:description/>
  <cp:lastModifiedBy>Кычкина Антонина Анатольевна</cp:lastModifiedBy>
  <cp:revision>21</cp:revision>
  <dcterms:created xsi:type="dcterms:W3CDTF">2023-08-03T06:52:00Z</dcterms:created>
  <dcterms:modified xsi:type="dcterms:W3CDTF">2023-08-10T05:45:00Z</dcterms:modified>
</cp:coreProperties>
</file>